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6D" w:rsidRPr="00B84D4E" w:rsidRDefault="004F1D6D" w:rsidP="004F1D6D">
      <w:pPr>
        <w:jc w:val="center"/>
        <w:rPr>
          <w:b/>
          <w:sz w:val="30"/>
          <w:szCs w:val="30"/>
        </w:rPr>
      </w:pPr>
      <w:r w:rsidRPr="00B84D4E">
        <w:rPr>
          <w:b/>
          <w:sz w:val="30"/>
          <w:szCs w:val="30"/>
        </w:rPr>
        <w:t>DỰ KIẾN NỘI DUNG CHƯƠNG TRÌNH</w:t>
      </w:r>
    </w:p>
    <w:p w:rsidR="004F1D6D" w:rsidRPr="00B84D4E" w:rsidRDefault="004F1D6D" w:rsidP="004F1D6D">
      <w:pPr>
        <w:spacing w:before="60" w:line="288" w:lineRule="auto"/>
        <w:jc w:val="center"/>
        <w:rPr>
          <w:b/>
          <w:sz w:val="27"/>
          <w:szCs w:val="27"/>
        </w:rPr>
      </w:pPr>
      <w:r w:rsidRPr="00B84D4E">
        <w:rPr>
          <w:b/>
          <w:sz w:val="27"/>
          <w:szCs w:val="27"/>
        </w:rPr>
        <w:t xml:space="preserve">HỘI NGHỊ GẶP MẶT </w:t>
      </w:r>
      <w:r>
        <w:rPr>
          <w:b/>
          <w:sz w:val="27"/>
          <w:szCs w:val="27"/>
        </w:rPr>
        <w:t xml:space="preserve">CÁC </w:t>
      </w:r>
      <w:r w:rsidRPr="00B84D4E">
        <w:rPr>
          <w:b/>
          <w:sz w:val="27"/>
          <w:szCs w:val="27"/>
        </w:rPr>
        <w:t>DOANH NGHIỆP CNTT</w:t>
      </w:r>
      <w:r>
        <w:rPr>
          <w:b/>
          <w:sz w:val="27"/>
          <w:szCs w:val="27"/>
        </w:rPr>
        <w:t xml:space="preserve"> THÀNH PHỐ HÀ NỘI NĂM 2016</w:t>
      </w:r>
    </w:p>
    <w:p w:rsidR="004F1D6D" w:rsidRPr="00A67CEB" w:rsidRDefault="004F1D6D" w:rsidP="004F1D6D">
      <w:pPr>
        <w:spacing w:before="60" w:line="288" w:lineRule="auto"/>
        <w:jc w:val="center"/>
        <w:rPr>
          <w:b/>
          <w:sz w:val="27"/>
          <w:szCs w:val="27"/>
        </w:rPr>
      </w:pPr>
      <w:r w:rsidRPr="00A67CEB">
        <w:rPr>
          <w:b/>
          <w:noProof/>
          <w:lang w:val="vi-VN" w:eastAsia="vi-V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57.6pt;margin-top:2.25pt;width:130.9pt;height:0;z-index:251660288" o:connectortype="straight"/>
        </w:pict>
      </w:r>
    </w:p>
    <w:p w:rsidR="004F1D6D" w:rsidRPr="00A67CEB" w:rsidRDefault="004F1D6D" w:rsidP="004F1D6D">
      <w:pPr>
        <w:spacing w:before="60" w:line="288" w:lineRule="auto"/>
        <w:ind w:firstLine="567"/>
        <w:jc w:val="both"/>
        <w:rPr>
          <w:sz w:val="27"/>
          <w:szCs w:val="27"/>
        </w:rPr>
      </w:pPr>
      <w:r w:rsidRPr="00A67CEB">
        <w:rPr>
          <w:sz w:val="27"/>
          <w:szCs w:val="27"/>
        </w:rPr>
        <w:t>Thời gian: 08h00 ngày      /       / 2016 (dự kiến 01 ngày</w:t>
      </w:r>
      <w:r>
        <w:rPr>
          <w:sz w:val="27"/>
          <w:szCs w:val="27"/>
        </w:rPr>
        <w:t xml:space="preserve"> trong khoảng</w:t>
      </w:r>
      <w:r w:rsidRPr="00A67CEB">
        <w:rPr>
          <w:sz w:val="27"/>
          <w:szCs w:val="27"/>
        </w:rPr>
        <w:t xml:space="preserve"> từ 28/3 - 01/4/2016).</w:t>
      </w:r>
    </w:p>
    <w:p w:rsidR="004F1D6D" w:rsidRDefault="004F1D6D" w:rsidP="004F1D6D">
      <w:pPr>
        <w:spacing w:before="60" w:line="288" w:lineRule="auto"/>
        <w:ind w:firstLine="567"/>
        <w:jc w:val="both"/>
        <w:rPr>
          <w:sz w:val="27"/>
          <w:szCs w:val="27"/>
        </w:rPr>
      </w:pPr>
      <w:r w:rsidRPr="00A67CEB">
        <w:rPr>
          <w:sz w:val="27"/>
          <w:szCs w:val="27"/>
        </w:rPr>
        <w:t>Địa điểm: Hội trường tầng 5, Trung tâm Đào tạo CNTT và Truyền thông Hà Nội, số 01 Hoàng Đạo Thúy, quận Thanh Xuân, Hà Nội.</w:t>
      </w:r>
    </w:p>
    <w:p w:rsidR="004F1D6D" w:rsidRDefault="004F1D6D" w:rsidP="004F1D6D">
      <w:pPr>
        <w:spacing w:before="60" w:line="288" w:lineRule="auto"/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Chủ trì: Lãnh đạo UBND Thành phố.</w:t>
      </w: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844"/>
        <w:gridCol w:w="4960"/>
        <w:gridCol w:w="3323"/>
      </w:tblGrid>
      <w:tr w:rsidR="004F1D6D" w:rsidRPr="00A67CEB" w:rsidTr="00534701">
        <w:trPr>
          <w:trHeight w:val="227"/>
          <w:tblHeader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b/>
                <w:bCs/>
                <w:sz w:val="25"/>
                <w:szCs w:val="25"/>
              </w:rPr>
            </w:pPr>
            <w:r w:rsidRPr="00A67CEB">
              <w:rPr>
                <w:i/>
                <w:sz w:val="27"/>
                <w:szCs w:val="27"/>
              </w:rPr>
              <w:t xml:space="preserve"> </w:t>
            </w:r>
            <w:r w:rsidRPr="00A67CEB">
              <w:rPr>
                <w:b/>
                <w:sz w:val="25"/>
                <w:szCs w:val="25"/>
              </w:rPr>
              <w:t>Thời gian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pStyle w:val="NormalLatinArial"/>
              <w:spacing w:after="60" w:line="240" w:lineRule="auto"/>
              <w:jc w:val="center"/>
              <w:rPr>
                <w:rStyle w:val="Strong"/>
                <w:rFonts w:ascii="Times New Roman" w:hAnsi="Times New Roman" w:cs="Times New Roman"/>
                <w:b/>
                <w:color w:val="auto"/>
                <w:sz w:val="25"/>
                <w:szCs w:val="25"/>
                <w:lang w:val="en-US"/>
              </w:rPr>
            </w:pPr>
            <w:r w:rsidRPr="00A67CEB">
              <w:rPr>
                <w:rStyle w:val="Strong"/>
                <w:rFonts w:ascii="Times New Roman" w:hAnsi="Times New Roman" w:cs="Times New Roman"/>
                <w:b/>
                <w:color w:val="auto"/>
                <w:sz w:val="25"/>
                <w:szCs w:val="25"/>
                <w:lang w:val="en-US"/>
              </w:rPr>
              <w:t>Nội dung</w:t>
            </w:r>
          </w:p>
        </w:tc>
        <w:tc>
          <w:tcPr>
            <w:tcW w:w="3323" w:type="dxa"/>
          </w:tcPr>
          <w:p w:rsidR="004F1D6D" w:rsidRPr="00A67CEB" w:rsidRDefault="004F1D6D" w:rsidP="00534701">
            <w:pPr>
              <w:pStyle w:val="NormalLatinArial"/>
              <w:spacing w:after="60" w:line="240" w:lineRule="auto"/>
              <w:ind w:left="142"/>
              <w:jc w:val="center"/>
              <w:rPr>
                <w:rStyle w:val="Strong"/>
                <w:rFonts w:ascii="Times New Roman" w:hAnsi="Times New Roman" w:cs="Times New Roman"/>
                <w:b/>
                <w:color w:val="auto"/>
                <w:sz w:val="25"/>
                <w:szCs w:val="25"/>
                <w:lang w:val="en-US"/>
              </w:rPr>
            </w:pPr>
            <w:r w:rsidRPr="00A67CEB">
              <w:rPr>
                <w:rStyle w:val="Strong"/>
                <w:rFonts w:ascii="Times New Roman" w:hAnsi="Times New Roman" w:cs="Times New Roman"/>
                <w:b/>
                <w:color w:val="auto"/>
                <w:sz w:val="25"/>
                <w:szCs w:val="25"/>
                <w:lang w:val="en-US"/>
              </w:rPr>
              <w:t>Đơn vị thực hiện</w:t>
            </w:r>
          </w:p>
        </w:tc>
      </w:tr>
      <w:tr w:rsidR="004F1D6D" w:rsidRPr="00A67CEB" w:rsidTr="00534701">
        <w:trPr>
          <w:trHeight w:val="227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0A6504" w:rsidRDefault="004F1D6D" w:rsidP="00534701">
            <w:pPr>
              <w:spacing w:after="6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08h00 - 08h30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</w:tcPr>
          <w:p w:rsidR="004F1D6D" w:rsidRPr="000A6504" w:rsidRDefault="004F1D6D" w:rsidP="00534701">
            <w:pPr>
              <w:spacing w:after="60"/>
              <w:jc w:val="both"/>
              <w:rPr>
                <w:bCs/>
                <w:sz w:val="25"/>
                <w:szCs w:val="25"/>
                <w:lang w:val="vi-VN"/>
              </w:rPr>
            </w:pPr>
            <w:r w:rsidRPr="000A6504">
              <w:rPr>
                <w:bCs/>
                <w:sz w:val="25"/>
                <w:szCs w:val="25"/>
              </w:rPr>
              <w:t>Đăng ký đại biểu</w:t>
            </w:r>
          </w:p>
        </w:tc>
        <w:tc>
          <w:tcPr>
            <w:tcW w:w="3323" w:type="dxa"/>
          </w:tcPr>
          <w:p w:rsidR="004F1D6D" w:rsidRPr="000A6504" w:rsidRDefault="004F1D6D" w:rsidP="00534701">
            <w:pPr>
              <w:spacing w:after="60"/>
              <w:rPr>
                <w:bCs/>
                <w:sz w:val="25"/>
                <w:szCs w:val="25"/>
              </w:rPr>
            </w:pPr>
          </w:p>
        </w:tc>
      </w:tr>
      <w:tr w:rsidR="004F1D6D" w:rsidRPr="00A67CEB" w:rsidTr="00534701">
        <w:trPr>
          <w:trHeight w:val="227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08h30 - 08h35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both"/>
              <w:rPr>
                <w:bCs/>
                <w:sz w:val="25"/>
                <w:szCs w:val="25"/>
              </w:rPr>
            </w:pPr>
            <w:r w:rsidRPr="00A67CEB">
              <w:rPr>
                <w:bCs/>
                <w:sz w:val="25"/>
                <w:szCs w:val="25"/>
              </w:rPr>
              <w:t xml:space="preserve">Phát biểu </w:t>
            </w:r>
            <w:r>
              <w:rPr>
                <w:bCs/>
                <w:sz w:val="25"/>
                <w:szCs w:val="25"/>
              </w:rPr>
              <w:t>khai mạc</w:t>
            </w:r>
          </w:p>
        </w:tc>
        <w:tc>
          <w:tcPr>
            <w:tcW w:w="3323" w:type="dxa"/>
            <w:vAlign w:val="center"/>
          </w:tcPr>
          <w:p w:rsidR="004F1D6D" w:rsidRPr="0093298B" w:rsidRDefault="004F1D6D" w:rsidP="00534701">
            <w:pPr>
              <w:spacing w:after="60"/>
              <w:ind w:left="118" w:right="187"/>
              <w:jc w:val="both"/>
              <w:rPr>
                <w:b/>
                <w:bCs/>
                <w:sz w:val="25"/>
                <w:szCs w:val="25"/>
              </w:rPr>
            </w:pPr>
            <w:r w:rsidRPr="0093298B">
              <w:rPr>
                <w:bCs/>
                <w:sz w:val="25"/>
                <w:szCs w:val="25"/>
              </w:rPr>
              <w:t>Sở Thông tin và Truyền thông Hà Nội</w:t>
            </w:r>
          </w:p>
        </w:tc>
      </w:tr>
      <w:tr w:rsidR="004F1D6D" w:rsidRPr="00A67CEB" w:rsidTr="00534701">
        <w:trPr>
          <w:trHeight w:val="227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08h3</w:t>
            </w:r>
            <w:r w:rsidRPr="00A67CEB">
              <w:rPr>
                <w:bCs/>
                <w:sz w:val="25"/>
                <w:szCs w:val="25"/>
              </w:rPr>
              <w:t xml:space="preserve">5 </w:t>
            </w:r>
            <w:r>
              <w:rPr>
                <w:bCs/>
                <w:sz w:val="25"/>
                <w:szCs w:val="25"/>
              </w:rPr>
              <w:t>-</w:t>
            </w:r>
            <w:r w:rsidRPr="00A67CEB">
              <w:rPr>
                <w:bCs/>
                <w:sz w:val="25"/>
                <w:szCs w:val="25"/>
              </w:rPr>
              <w:t xml:space="preserve"> 0</w:t>
            </w:r>
            <w:r>
              <w:rPr>
                <w:bCs/>
                <w:sz w:val="25"/>
                <w:szCs w:val="25"/>
              </w:rPr>
              <w:t>8h5</w:t>
            </w:r>
            <w:r w:rsidRPr="00A67CEB">
              <w:rPr>
                <w:bCs/>
                <w:sz w:val="25"/>
                <w:szCs w:val="25"/>
              </w:rPr>
              <w:t>0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 w:rsidRPr="00A67CEB">
              <w:rPr>
                <w:sz w:val="25"/>
                <w:szCs w:val="25"/>
              </w:rPr>
              <w:t>Báo cáo tổng kết Chương trình phát triển công nghiệp CNTT thành phố Hà Nội giai đoạn 2011 - 2015</w:t>
            </w:r>
          </w:p>
          <w:p w:rsidR="004F1D6D" w:rsidRPr="00A67CEB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C</w:t>
            </w:r>
            <w:r w:rsidRPr="00A67CEB">
              <w:rPr>
                <w:sz w:val="25"/>
                <w:szCs w:val="25"/>
              </w:rPr>
              <w:t>ác khó khăn, vướng mắc của các doanh nghiệp CNTT</w:t>
            </w:r>
            <w:r>
              <w:rPr>
                <w:sz w:val="25"/>
                <w:szCs w:val="25"/>
              </w:rPr>
              <w:t xml:space="preserve"> năm 2015</w:t>
            </w:r>
          </w:p>
        </w:tc>
        <w:tc>
          <w:tcPr>
            <w:tcW w:w="3323" w:type="dxa"/>
            <w:vAlign w:val="center"/>
          </w:tcPr>
          <w:p w:rsidR="004F1D6D" w:rsidRPr="0093298B" w:rsidRDefault="004F1D6D" w:rsidP="00534701">
            <w:pPr>
              <w:spacing w:after="60"/>
              <w:ind w:left="118" w:right="187"/>
              <w:jc w:val="both"/>
              <w:rPr>
                <w:sz w:val="25"/>
                <w:szCs w:val="25"/>
              </w:rPr>
            </w:pPr>
            <w:r w:rsidRPr="0093298B">
              <w:rPr>
                <w:sz w:val="25"/>
                <w:szCs w:val="25"/>
              </w:rPr>
              <w:t>Sở Thông tin và Truyền thông Hà Nội</w:t>
            </w:r>
          </w:p>
        </w:tc>
      </w:tr>
      <w:tr w:rsidR="004F1D6D" w:rsidRPr="00A67CEB" w:rsidTr="00534701">
        <w:trPr>
          <w:trHeight w:val="227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0A6504" w:rsidRDefault="004F1D6D" w:rsidP="00534701">
            <w:pPr>
              <w:spacing w:after="60"/>
              <w:jc w:val="center"/>
              <w:rPr>
                <w:sz w:val="25"/>
                <w:szCs w:val="25"/>
              </w:rPr>
            </w:pPr>
            <w:r w:rsidRPr="000A6504">
              <w:rPr>
                <w:sz w:val="25"/>
                <w:szCs w:val="25"/>
              </w:rPr>
              <w:t>08h50 - 09h50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0A6504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 w:rsidRPr="000A6504">
              <w:rPr>
                <w:sz w:val="25"/>
                <w:szCs w:val="25"/>
              </w:rPr>
              <w:t>Trao đổi và đối thoại trực tiếp với Lãnh đạo UBND Thành phố và các Sở, Ngành liên quan</w:t>
            </w:r>
          </w:p>
        </w:tc>
        <w:tc>
          <w:tcPr>
            <w:tcW w:w="3323" w:type="dxa"/>
          </w:tcPr>
          <w:p w:rsidR="004F1D6D" w:rsidRPr="0093298B" w:rsidRDefault="004F1D6D" w:rsidP="00534701">
            <w:pPr>
              <w:spacing w:after="60"/>
              <w:ind w:left="118" w:right="187"/>
              <w:jc w:val="both"/>
              <w:rPr>
                <w:sz w:val="25"/>
                <w:szCs w:val="25"/>
              </w:rPr>
            </w:pPr>
            <w:r w:rsidRPr="0093298B">
              <w:rPr>
                <w:sz w:val="25"/>
                <w:szCs w:val="25"/>
              </w:rPr>
              <w:t xml:space="preserve">- Lãnh đạo các Hội, hiệp hội CNTT (VAIP, VINASA, VECOM, VEIA, HANICT, </w:t>
            </w:r>
            <w:r>
              <w:rPr>
                <w:sz w:val="25"/>
                <w:szCs w:val="25"/>
              </w:rPr>
              <w:t xml:space="preserve">VNISA, VIA, </w:t>
            </w:r>
            <w:r w:rsidRPr="0093298B">
              <w:rPr>
                <w:sz w:val="25"/>
                <w:szCs w:val="25"/>
              </w:rPr>
              <w:t>…)</w:t>
            </w:r>
          </w:p>
          <w:p w:rsidR="004F1D6D" w:rsidRPr="00A67CEB" w:rsidRDefault="004F1D6D" w:rsidP="00534701">
            <w:pPr>
              <w:spacing w:after="60"/>
              <w:ind w:left="118" w:right="187"/>
              <w:jc w:val="both"/>
              <w:rPr>
                <w:i/>
                <w:sz w:val="25"/>
                <w:szCs w:val="25"/>
              </w:rPr>
            </w:pPr>
            <w:r w:rsidRPr="0093298B">
              <w:rPr>
                <w:sz w:val="25"/>
                <w:szCs w:val="25"/>
              </w:rPr>
              <w:t>- Đại diện các doanh nghiệp CNTT</w:t>
            </w:r>
          </w:p>
        </w:tc>
      </w:tr>
      <w:tr w:rsidR="004F1D6D" w:rsidRPr="00A67CEB" w:rsidTr="00534701">
        <w:trPr>
          <w:trHeight w:val="227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0824C1" w:rsidRDefault="004F1D6D" w:rsidP="00534701">
            <w:pPr>
              <w:spacing w:after="60"/>
              <w:jc w:val="both"/>
              <w:rPr>
                <w:sz w:val="25"/>
                <w:szCs w:val="25"/>
                <w:u w:val="single"/>
              </w:rPr>
            </w:pPr>
            <w:r w:rsidRPr="000824C1">
              <w:rPr>
                <w:b/>
                <w:i/>
                <w:sz w:val="25"/>
                <w:szCs w:val="25"/>
                <w:u w:val="single"/>
              </w:rPr>
              <w:t>Khó khăn, vướng mắc: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 w:rsidRPr="00A67CEB">
              <w:rPr>
                <w:sz w:val="25"/>
                <w:szCs w:val="25"/>
              </w:rPr>
              <w:t xml:space="preserve">Chi phí chi trả cho thuê mặt bằng phục vụ hoạt động sản xuất - kinh doanh; Đường </w:t>
            </w:r>
            <w:r>
              <w:rPr>
                <w:sz w:val="25"/>
                <w:szCs w:val="25"/>
              </w:rPr>
              <w:t>truyền viễn thông - internet, …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 w:rsidRPr="00A67CEB">
              <w:rPr>
                <w:sz w:val="25"/>
                <w:szCs w:val="25"/>
              </w:rPr>
              <w:t>Nguồn nhân lực CNTT chưa đáp ứng được yêu cầu của doanh nghiệp CNTT</w:t>
            </w:r>
            <w:r>
              <w:rPr>
                <w:sz w:val="25"/>
                <w:szCs w:val="25"/>
              </w:rPr>
              <w:t>.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C</w:t>
            </w:r>
            <w:r w:rsidRPr="00A67CEB">
              <w:rPr>
                <w:sz w:val="25"/>
                <w:szCs w:val="25"/>
              </w:rPr>
              <w:t>ơ chế</w:t>
            </w:r>
            <w:r>
              <w:rPr>
                <w:sz w:val="25"/>
                <w:szCs w:val="25"/>
              </w:rPr>
              <w:t>,</w:t>
            </w:r>
            <w:r w:rsidRPr="00A67CEB">
              <w:rPr>
                <w:sz w:val="25"/>
                <w:szCs w:val="25"/>
              </w:rPr>
              <w:t xml:space="preserve"> chính sách ưu đãi hỗ trợ doanh nghiệp CNTT về tài chính, thuế, hải quan</w:t>
            </w:r>
            <w:r>
              <w:rPr>
                <w:sz w:val="25"/>
                <w:szCs w:val="25"/>
              </w:rPr>
              <w:t>, …</w:t>
            </w:r>
          </w:p>
          <w:p w:rsidR="004F1D6D" w:rsidRDefault="004F1D6D" w:rsidP="00534701">
            <w:pPr>
              <w:spacing w:after="60"/>
              <w:jc w:val="both"/>
              <w:rPr>
                <w:i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- </w:t>
            </w:r>
            <w:r w:rsidRPr="00A67CEB">
              <w:rPr>
                <w:sz w:val="25"/>
                <w:szCs w:val="25"/>
              </w:rPr>
              <w:t xml:space="preserve">Tiếp cận thị trường trong nước và quốc tế </w:t>
            </w:r>
            <w:r w:rsidRPr="00B90422">
              <w:rPr>
                <w:sz w:val="25"/>
                <w:szCs w:val="25"/>
              </w:rPr>
              <w:t>(đặc biệt là trong các cơ quan nhà nước)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Q</w:t>
            </w:r>
            <w:r w:rsidRPr="00B90422">
              <w:rPr>
                <w:sz w:val="25"/>
                <w:szCs w:val="25"/>
              </w:rPr>
              <w:t>uyền sở hữu trí tuệ đối với các sản phẩm, dịch vụ CNTT</w:t>
            </w:r>
            <w:r>
              <w:rPr>
                <w:sz w:val="25"/>
                <w:szCs w:val="25"/>
              </w:rPr>
              <w:t>.</w:t>
            </w:r>
          </w:p>
          <w:p w:rsidR="004F1D6D" w:rsidRPr="00C424B3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 w:rsidRPr="00C424B3">
              <w:rPr>
                <w:sz w:val="25"/>
                <w:szCs w:val="25"/>
              </w:rPr>
              <w:t>- …</w:t>
            </w:r>
          </w:p>
        </w:tc>
        <w:tc>
          <w:tcPr>
            <w:tcW w:w="3323" w:type="dxa"/>
            <w:vMerge w:val="restart"/>
            <w:vAlign w:val="center"/>
          </w:tcPr>
          <w:p w:rsidR="004F1D6D" w:rsidRPr="00A67CEB" w:rsidRDefault="004F1D6D" w:rsidP="00534701">
            <w:pPr>
              <w:spacing w:after="60"/>
              <w:ind w:left="118" w:right="187"/>
              <w:jc w:val="both"/>
              <w:rPr>
                <w:i/>
                <w:sz w:val="25"/>
                <w:szCs w:val="25"/>
              </w:rPr>
            </w:pPr>
          </w:p>
        </w:tc>
      </w:tr>
      <w:tr w:rsidR="004F1D6D" w:rsidRPr="00A67CEB" w:rsidTr="00534701">
        <w:trPr>
          <w:trHeight w:val="227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-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0824C1" w:rsidRDefault="004F1D6D" w:rsidP="00534701">
            <w:pPr>
              <w:spacing w:after="60"/>
              <w:jc w:val="both"/>
              <w:rPr>
                <w:sz w:val="25"/>
                <w:szCs w:val="25"/>
                <w:u w:val="single"/>
              </w:rPr>
            </w:pPr>
            <w:r w:rsidRPr="000824C1">
              <w:rPr>
                <w:b/>
                <w:i/>
                <w:sz w:val="25"/>
                <w:szCs w:val="25"/>
                <w:u w:val="single"/>
              </w:rPr>
              <w:t>Đề xuất: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Đẩy mạnh áp dụng các chính sách ưu đãi tại các Văn bản của Nhà nước: Nghị định số 218/2013/NĐ-CP; Nghị định số 154/2013/NĐ-CP; …và xây dựng cơ chế ưu đãi đặc thù cho phát triển doanh nghiệp CNTT và ngành công nghiệp CNTT Hà Nội (Chính sách thu hút đầu tư; Chính sách ưu đãi về thuế, hải quan, vay vốn, thuê địa điểm, …).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H</w:t>
            </w:r>
            <w:r w:rsidRPr="00A67CEB">
              <w:rPr>
                <w:sz w:val="25"/>
                <w:szCs w:val="25"/>
              </w:rPr>
              <w:t xml:space="preserve">ỗ trợ doanh nghiệp CNTT đào tạo, bồi dưỡng </w:t>
            </w:r>
            <w:r>
              <w:rPr>
                <w:sz w:val="25"/>
                <w:szCs w:val="25"/>
              </w:rPr>
              <w:t xml:space="preserve">nâng cao chất lượng </w:t>
            </w:r>
            <w:r w:rsidRPr="00A67CEB">
              <w:rPr>
                <w:sz w:val="25"/>
                <w:szCs w:val="25"/>
              </w:rPr>
              <w:t>nguồn nhân lực CNTT</w:t>
            </w:r>
            <w:r>
              <w:rPr>
                <w:sz w:val="25"/>
                <w:szCs w:val="25"/>
              </w:rPr>
              <w:t>.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H</w:t>
            </w:r>
            <w:r w:rsidRPr="00A67CEB">
              <w:rPr>
                <w:sz w:val="25"/>
                <w:szCs w:val="25"/>
              </w:rPr>
              <w:t>ỗ trợ doanh nghiệp CNTT tham gia các Chương trình xúc tiến đầu tư, xúc tiến thương mại, tiếp cận với t</w:t>
            </w:r>
            <w:r>
              <w:rPr>
                <w:sz w:val="25"/>
                <w:szCs w:val="25"/>
              </w:rPr>
              <w:t>hị trường trong nước và quốc tế; Phát triển sản phẩm mới, sản phẩm trọng điểm, …</w:t>
            </w:r>
          </w:p>
          <w:p w:rsidR="004F1D6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Đơn giản hóa các thủ tục hành chính (</w:t>
            </w:r>
          </w:p>
          <w:p w:rsidR="004F1D6D" w:rsidRPr="0047034D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 …</w:t>
            </w:r>
          </w:p>
        </w:tc>
        <w:tc>
          <w:tcPr>
            <w:tcW w:w="3323" w:type="dxa"/>
            <w:vMerge/>
          </w:tcPr>
          <w:p w:rsidR="004F1D6D" w:rsidRPr="00A67CEB" w:rsidRDefault="004F1D6D" w:rsidP="00534701">
            <w:pPr>
              <w:spacing w:after="60"/>
              <w:ind w:left="118" w:right="187"/>
              <w:jc w:val="both"/>
              <w:rPr>
                <w:i/>
                <w:sz w:val="25"/>
                <w:szCs w:val="25"/>
              </w:rPr>
            </w:pPr>
          </w:p>
        </w:tc>
      </w:tr>
      <w:tr w:rsidR="004F1D6D" w:rsidRPr="00A67CEB" w:rsidTr="00534701">
        <w:trPr>
          <w:trHeight w:val="1441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rFonts w:eastAsia="+mn-ea"/>
                <w:kern w:val="24"/>
                <w:sz w:val="25"/>
                <w:szCs w:val="25"/>
              </w:rPr>
            </w:pPr>
            <w:r>
              <w:rPr>
                <w:sz w:val="25"/>
                <w:szCs w:val="25"/>
              </w:rPr>
              <w:t>09h5</w:t>
            </w:r>
            <w:r w:rsidRPr="00A67CEB">
              <w:rPr>
                <w:sz w:val="25"/>
                <w:szCs w:val="25"/>
              </w:rPr>
              <w:t>0</w:t>
            </w:r>
            <w:r>
              <w:rPr>
                <w:sz w:val="25"/>
                <w:szCs w:val="25"/>
              </w:rPr>
              <w:t xml:space="preserve"> - 10h30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5"/>
                <w:szCs w:val="25"/>
              </w:rPr>
            </w:pPr>
            <w:r w:rsidRPr="00A67CEB">
              <w:rPr>
                <w:sz w:val="25"/>
                <w:szCs w:val="25"/>
              </w:rPr>
              <w:t>T</w:t>
            </w:r>
            <w:r>
              <w:rPr>
                <w:sz w:val="25"/>
                <w:szCs w:val="25"/>
              </w:rPr>
              <w:t>rao đổi, giải đáp của</w:t>
            </w:r>
            <w:r w:rsidRPr="00A67CEB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các </w:t>
            </w:r>
            <w:r w:rsidRPr="00A67CEB">
              <w:rPr>
                <w:sz w:val="25"/>
                <w:szCs w:val="25"/>
              </w:rPr>
              <w:t xml:space="preserve">cơ quan quản lý nhà nước </w:t>
            </w:r>
            <w:r>
              <w:rPr>
                <w:sz w:val="25"/>
                <w:szCs w:val="25"/>
              </w:rPr>
              <w:t>thành phố Hà Nội</w:t>
            </w:r>
          </w:p>
        </w:tc>
        <w:tc>
          <w:tcPr>
            <w:tcW w:w="3323" w:type="dxa"/>
            <w:vAlign w:val="center"/>
          </w:tcPr>
          <w:p w:rsidR="004F1D6D" w:rsidRPr="0093298B" w:rsidRDefault="004F1D6D" w:rsidP="00534701">
            <w:pPr>
              <w:spacing w:after="60"/>
              <w:ind w:left="118" w:right="187"/>
              <w:jc w:val="both"/>
              <w:rPr>
                <w:sz w:val="25"/>
                <w:szCs w:val="25"/>
              </w:rPr>
            </w:pPr>
            <w:r w:rsidRPr="0093298B">
              <w:rPr>
                <w:sz w:val="25"/>
                <w:szCs w:val="25"/>
              </w:rPr>
              <w:t>Đại diện Lãnh đạo UBND Thành phố, các Sở, Ban, Ngành liên quan</w:t>
            </w:r>
            <w:r>
              <w:rPr>
                <w:sz w:val="25"/>
                <w:szCs w:val="25"/>
              </w:rPr>
              <w:t xml:space="preserve"> thuộc Thành phố (Sở Tài chính, Sở Kế hoạch và Đầu tư, Cục Thuế Hà Nội, Cục Hải quan Hà Nội, …)</w:t>
            </w:r>
          </w:p>
        </w:tc>
      </w:tr>
      <w:tr w:rsidR="004F1D6D" w:rsidRPr="00A67CEB" w:rsidTr="00534701">
        <w:trPr>
          <w:trHeight w:val="1441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10h30 - 10h45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both"/>
              <w:rPr>
                <w:sz w:val="25"/>
                <w:szCs w:val="25"/>
              </w:rPr>
            </w:pPr>
            <w:r w:rsidRPr="00A67CEB">
              <w:rPr>
                <w:sz w:val="25"/>
                <w:szCs w:val="25"/>
              </w:rPr>
              <w:t>Ký kết hợp tác giữa Sở Thông tin và Truyền thông Hà Nội với các Hội, Hiệp hội hoạt động trong lĩnh vực CNTT</w:t>
            </w:r>
          </w:p>
        </w:tc>
        <w:tc>
          <w:tcPr>
            <w:tcW w:w="3323" w:type="dxa"/>
          </w:tcPr>
          <w:p w:rsidR="004F1D6D" w:rsidRPr="0093298B" w:rsidRDefault="004F1D6D" w:rsidP="00534701">
            <w:pPr>
              <w:spacing w:after="60"/>
              <w:ind w:left="118" w:right="187"/>
              <w:jc w:val="both"/>
              <w:rPr>
                <w:sz w:val="25"/>
                <w:szCs w:val="25"/>
              </w:rPr>
            </w:pPr>
            <w:r w:rsidRPr="0093298B">
              <w:rPr>
                <w:sz w:val="25"/>
                <w:szCs w:val="25"/>
              </w:rPr>
              <w:t>Đại diện Lãnh đạo Sở Thông tin và Truyền thông với Lãnh đạo các Hội, hiệp hội CNTT (VAIP, VINASA, VECOM,VFOSSA, VEIA, HANICT, …)</w:t>
            </w:r>
          </w:p>
        </w:tc>
      </w:tr>
      <w:tr w:rsidR="004F1D6D" w:rsidRPr="00A67CEB" w:rsidTr="00534701">
        <w:trPr>
          <w:trHeight w:val="831"/>
          <w:jc w:val="center"/>
        </w:trPr>
        <w:tc>
          <w:tcPr>
            <w:tcW w:w="1844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spacing w:after="6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10h45 - 11h00</w:t>
            </w:r>
          </w:p>
        </w:tc>
        <w:tc>
          <w:tcPr>
            <w:tcW w:w="4960" w:type="dxa"/>
            <w:shd w:val="clear" w:color="auto" w:fill="auto"/>
            <w:tcMar>
              <w:top w:w="57" w:type="dxa"/>
              <w:left w:w="57" w:type="dxa"/>
              <w:bottom w:w="57" w:type="dxa"/>
              <w:right w:w="144" w:type="dxa"/>
            </w:tcMar>
            <w:vAlign w:val="center"/>
          </w:tcPr>
          <w:p w:rsidR="004F1D6D" w:rsidRPr="00A67CEB" w:rsidRDefault="004F1D6D" w:rsidP="00534701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sz w:val="25"/>
                <w:szCs w:val="25"/>
              </w:rPr>
            </w:pPr>
            <w:r w:rsidRPr="00A67CEB">
              <w:rPr>
                <w:sz w:val="25"/>
                <w:szCs w:val="25"/>
              </w:rPr>
              <w:t>Phát biểu chỉ đạo của Lãnh đạo UBND Thành phố</w:t>
            </w:r>
          </w:p>
        </w:tc>
        <w:tc>
          <w:tcPr>
            <w:tcW w:w="3323" w:type="dxa"/>
            <w:vAlign w:val="center"/>
          </w:tcPr>
          <w:p w:rsidR="004F1D6D" w:rsidRPr="0093298B" w:rsidRDefault="004F1D6D" w:rsidP="00534701">
            <w:pPr>
              <w:spacing w:after="60"/>
              <w:ind w:left="118" w:right="187"/>
              <w:jc w:val="both"/>
              <w:rPr>
                <w:sz w:val="25"/>
                <w:szCs w:val="25"/>
              </w:rPr>
            </w:pPr>
            <w:r w:rsidRPr="0093298B">
              <w:rPr>
                <w:sz w:val="25"/>
                <w:szCs w:val="25"/>
              </w:rPr>
              <w:t>Lãnh đạo UBND Thành phố</w:t>
            </w:r>
          </w:p>
        </w:tc>
      </w:tr>
    </w:tbl>
    <w:p w:rsidR="004F1D6D" w:rsidRPr="00A67CEB" w:rsidRDefault="004F1D6D" w:rsidP="004F1D6D"/>
    <w:p w:rsidR="00A042C8" w:rsidRDefault="004F1D6D" w:rsidP="004F1D6D">
      <w:r w:rsidRPr="00A67CEB">
        <w:br w:type="page"/>
      </w:r>
    </w:p>
    <w:sectPr w:rsidR="00A042C8" w:rsidSect="00DA4C3C">
      <w:pgSz w:w="12240" w:h="15840" w:code="1"/>
      <w:pgMar w:top="1134" w:right="1134" w:bottom="1134" w:left="1701" w:header="567" w:footer="567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4F1D6D"/>
    <w:rsid w:val="0016464A"/>
    <w:rsid w:val="004F1D6D"/>
    <w:rsid w:val="0077405F"/>
    <w:rsid w:val="007908B9"/>
    <w:rsid w:val="00A042C8"/>
    <w:rsid w:val="00DA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D6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4F1D6D"/>
    <w:rPr>
      <w:b/>
      <w:bCs/>
    </w:rPr>
  </w:style>
  <w:style w:type="paragraph" w:customStyle="1" w:styleId="NormalLatinArial">
    <w:name w:val="Normal + (Latin) Arial"/>
    <w:aliases w:val="10 pt,Bold,Red,After:  0 pt,Line spacing:  At lea..."/>
    <w:basedOn w:val="Normal"/>
    <w:rsid w:val="004F1D6D"/>
    <w:pPr>
      <w:spacing w:line="240" w:lineRule="atLeast"/>
    </w:pPr>
    <w:rPr>
      <w:rFonts w:ascii="Arial" w:eastAsia="Calibri" w:hAnsi="Arial" w:cs="Arial"/>
      <w:b/>
      <w:bCs/>
      <w:color w:val="FF0000"/>
      <w:sz w:val="20"/>
      <w:szCs w:val="20"/>
      <w:lang w:val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</dc:creator>
  <cp:lastModifiedBy>07</cp:lastModifiedBy>
  <cp:revision>1</cp:revision>
  <dcterms:created xsi:type="dcterms:W3CDTF">2016-03-15T02:11:00Z</dcterms:created>
  <dcterms:modified xsi:type="dcterms:W3CDTF">2016-03-15T02:12:00Z</dcterms:modified>
</cp:coreProperties>
</file>